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119" w:right="120" w:firstLine="1552"/>
        <w:spacing w:after="0" w:line="332" w:lineRule="auto"/>
        <w:rPr>
          <w:sz w:val="20"/>
          <w:szCs w:val="20"/>
          <w:color w:val="auto"/>
        </w:rPr>
      </w:pPr>
      <w:r>
        <w:rPr>
          <w:rFonts w:ascii="함초롬바탕" w:cs="함초롬바탕" w:eastAsia="함초롬바탕" w:hAnsi="함초롬바탕"/>
          <w:sz w:val="40"/>
          <w:szCs w:val="40"/>
          <w:b w:val="1"/>
          <w:bCs w:val="1"/>
          <w:color w:val="auto"/>
        </w:rPr>
        <w:t>2019년 지방공기업 경영평가 고객만족도 조사 결과 보고서 (2019.09.) 요약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359" w:hanging="359"/>
        <w:spacing w:after="0"/>
        <w:tabs>
          <w:tab w:leader="none" w:pos="359" w:val="left"/>
        </w:tabs>
        <w:numPr>
          <w:ilvl w:val="0"/>
          <w:numId w:val="1"/>
        </w:numPr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  <w:t>조사 배경 및 목적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</w:pPr>
    </w:p>
    <w:p>
      <w:pPr>
        <w:jc w:val="both"/>
        <w:ind w:left="619" w:hanging="379"/>
        <w:spacing w:after="0" w:line="295" w:lineRule="auto"/>
        <w:tabs>
          <w:tab w:leader="none" w:pos="61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지역 주민의 만족도 제고와 지방공기업의 대국민 서비스 만족도 향상을 위해 조사의 공정성 확보 및 조사 결과의 환류 기능 강화를 지향</w:t>
      </w:r>
    </w:p>
    <w:p>
      <w:pPr>
        <w:jc w:val="both"/>
        <w:ind w:left="619" w:hanging="379"/>
        <w:spacing w:after="0" w:line="332" w:lineRule="auto"/>
        <w:tabs>
          <w:tab w:leader="none" w:pos="61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고객만족도 측정/진단을 통한 대국민 만족도 제고와 서비스 품질 수준 향상 및 지역 주민 삶의 질 증진 추구</w:t>
      </w:r>
    </w:p>
    <w:p>
      <w:pPr>
        <w:spacing w:after="0" w:line="287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359" w:hanging="359"/>
        <w:spacing w:after="0"/>
        <w:tabs>
          <w:tab w:leader="none" w:pos="359" w:val="left"/>
        </w:tabs>
        <w:numPr>
          <w:ilvl w:val="0"/>
          <w:numId w:val="1"/>
        </w:numPr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  <w:t>조사 개요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</w:pPr>
    </w:p>
    <w:p>
      <w:pPr>
        <w:jc w:val="both"/>
        <w:ind w:left="599" w:hanging="359"/>
        <w:spacing w:after="0"/>
        <w:tabs>
          <w:tab w:leader="none" w:pos="5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조사대상 : 제주특별자치도개발공사의 서비스 이용고객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599" w:hanging="359"/>
        <w:spacing w:after="0"/>
        <w:tabs>
          <w:tab w:leader="none" w:pos="5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모 집 단 : 평가대상별 고객 정의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599" w:hanging="359"/>
        <w:spacing w:after="0"/>
        <w:tabs>
          <w:tab w:leader="none" w:pos="5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표본추출 : 해당 지역의 이용고객 대상으로 무작위 추출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599" w:hanging="359"/>
        <w:spacing w:after="0"/>
        <w:tabs>
          <w:tab w:leader="none" w:pos="5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표본크기 : 550명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599" w:hanging="359"/>
        <w:spacing w:after="0"/>
        <w:tabs>
          <w:tab w:leader="none" w:pos="5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자료 수집 방법 : CATI System을 이용한 전화조사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599" w:hanging="359"/>
        <w:spacing w:after="0"/>
        <w:tabs>
          <w:tab w:leader="none" w:pos="5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조사기간 : 2019.03.18. ~ 2019.05.03. (매일 10:00 ~ 21:00 면접조사)</w:t>
      </w:r>
    </w:p>
    <w:p>
      <w:pPr>
        <w:spacing w:after="0" w:line="200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spacing w:after="0" w:line="255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359" w:hanging="359"/>
        <w:spacing w:after="0"/>
        <w:tabs>
          <w:tab w:leader="none" w:pos="359" w:val="left"/>
        </w:tabs>
        <w:numPr>
          <w:ilvl w:val="0"/>
          <w:numId w:val="1"/>
        </w:numPr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  <w:t>조사 결과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b w:val="1"/>
          <w:bCs w:val="1"/>
          <w:color w:val="auto"/>
        </w:rPr>
      </w:pPr>
    </w:p>
    <w:p>
      <w:pPr>
        <w:jc w:val="both"/>
        <w:ind w:left="699" w:hanging="459"/>
        <w:spacing w:after="0"/>
        <w:tabs>
          <w:tab w:leader="none" w:pos="6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2019년 제주특별자치도개발공사의 종합만족도는 88.6점으로 2018년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699"/>
        <w:spacing w:after="0"/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(90.1) 대비 1.5점 하락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619" w:hanging="379"/>
        <w:spacing w:after="0" w:line="295" w:lineRule="auto"/>
        <w:tabs>
          <w:tab w:leader="none" w:pos="61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지방공기업 전체 평균(80.9)에 비해서는 7.7점 높은 수치, 특정공사공단 전체 평균(84.8)에 비해서는 3.8점 높은 수치를 기록</w:t>
      </w:r>
    </w:p>
    <w:p>
      <w:pPr>
        <w:jc w:val="both"/>
        <w:ind w:left="619" w:hanging="379"/>
        <w:spacing w:after="0"/>
        <w:tabs>
          <w:tab w:leader="none" w:pos="61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제주특별자치도개발공사 내 사업별로 ‘식음료사업_제주삼다수’의 만족도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979" w:hanging="356"/>
        <w:spacing w:after="0"/>
        <w:tabs>
          <w:tab w:leader="none" w:pos="979" w:val="left"/>
        </w:tabs>
        <w:numPr>
          <w:ilvl w:val="3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91.2점으로 가장 높은 수치를 기록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599" w:hanging="359"/>
        <w:spacing w:after="0"/>
        <w:tabs>
          <w:tab w:leader="none" w:pos="599" w:val="left"/>
        </w:tabs>
        <w:numPr>
          <w:ilvl w:val="1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제주특별자치도개발공사 요소별 만족도로는 ‘사회적 만족 차원의 지속성’</w:t>
      </w:r>
    </w:p>
    <w:p>
      <w:pPr>
        <w:spacing w:after="0" w:line="71" w:lineRule="exact"/>
        <w:rPr>
          <w:rFonts w:ascii="함초롬바탕" w:cs="함초롬바탕" w:eastAsia="함초롬바탕" w:hAnsi="함초롬바탕"/>
          <w:sz w:val="24"/>
          <w:szCs w:val="24"/>
          <w:color w:val="auto"/>
        </w:rPr>
      </w:pPr>
    </w:p>
    <w:p>
      <w:pPr>
        <w:jc w:val="both"/>
        <w:ind w:left="979" w:hanging="358"/>
        <w:spacing w:after="0"/>
        <w:tabs>
          <w:tab w:leader="none" w:pos="979" w:val="left"/>
        </w:tabs>
        <w:numPr>
          <w:ilvl w:val="2"/>
          <w:numId w:val="1"/>
        </w:numPr>
        <w:rPr>
          <w:rFonts w:ascii="함초롬바탕" w:cs="함초롬바탕" w:eastAsia="함초롬바탕" w:hAnsi="함초롬바탕"/>
          <w:sz w:val="24"/>
          <w:szCs w:val="24"/>
          <w:color w:val="auto"/>
        </w:rPr>
      </w:pPr>
      <w:r>
        <w:rPr>
          <w:rFonts w:ascii="함초롬바탕" w:cs="함초롬바탕" w:eastAsia="함초롬바탕" w:hAnsi="함초롬바탕"/>
          <w:sz w:val="24"/>
          <w:szCs w:val="24"/>
          <w:color w:val="auto"/>
        </w:rPr>
        <w:t>91.9점으로 가장 높은 수치를 기록</w:t>
      </w:r>
    </w:p>
    <w:sectPr>
      <w:pgSz w:w="11900" w:h="16820" w:orient="portrait"/>
      <w:cols w:equalWidth="0" w:num="1">
        <w:col w:w="8499"/>
      </w:cols>
      <w:pgMar w:left="1701" w:top="1440" w:right="1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panose1 w:val="02030604000101010101"/>
    <w:charset w:val="00"/>
    <w:family w:val="roman"/>
    <w:pitch w:val="variable"/>
    <w:sig w:usb0="F70006FF" w:usb1="11DFFFFF" w:usb2="001BFDD7" w:usb3="00000000" w:csb0="001F007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이"/>
      <w:numFmt w:val="bullet"/>
      <w:start w:val="1"/>
    </w:lvl>
    <w:lvl w:ilvl="3">
      <w:lvlJc w:val="left"/>
      <w:lvlText w:val="가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2022-08-19T13:19:19Z</dcterms:created>
  <dcterms:modified xsi:type="dcterms:W3CDTF">2022-08-19T13:19:19Z</dcterms:modified>
</cp:coreProperties>
</file>